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9" w:name="tribunal-judicial-de-lisboa"/>
    <w:p>
      <w:pPr>
        <w:pStyle w:val="Heading2"/>
      </w:pPr>
      <w:r>
        <w:t xml:space="preserve">Tribunal Judicial de Lisboa</w:t>
      </w:r>
    </w:p>
    <w:bookmarkStart w:id="9" w:name="juízo-de-instrução-criminal-nº-4"/>
    <w:p>
      <w:pPr>
        <w:pStyle w:val="Heading3"/>
      </w:pPr>
      <w:r>
        <w:t xml:space="preserve">Juízo de Instrução Criminal nº 4</w:t>
      </w:r>
    </w:p>
    <w:p>
      <w:pPr>
        <w:pStyle w:val="FirstParagraph"/>
      </w:pPr>
      <w:r>
        <w:rPr>
          <w:b/>
          <w:bCs/>
        </w:rPr>
        <w:t xml:space="preserve">Processo n.º 2023/0456</w:t>
      </w:r>
      <w:r>
        <w:t xml:space="preserve"> </w:t>
      </w:r>
      <w:r>
        <w:t xml:space="preserve">– Burla Informática por Phishing – Transferências Fraudulentas de €32 000</w:t>
      </w:r>
    </w:p>
    <w:p>
      <w:pPr>
        <w:pStyle w:val="BodyText"/>
      </w:pPr>
      <w:r>
        <w:rPr>
          <w:b/>
          <w:bCs/>
        </w:rPr>
        <w:t xml:space="preserve">Autor:</w:t>
      </w:r>
      <w:r>
        <w:t xml:space="preserve"> </w:t>
      </w:r>
      <w:r>
        <w:t xml:space="preserve">Ministério Público</w:t>
      </w:r>
      <w:r>
        <w:br/>
      </w:r>
      <w:r>
        <w:rPr>
          <w:b/>
          <w:bCs/>
        </w:rPr>
        <w:t xml:space="preserve">Réu:</w:t>
      </w:r>
      <w:r>
        <w:t xml:space="preserve"> </w:t>
      </w:r>
      <w:r>
        <w:t xml:space="preserve">João da Silva, residente em Rua da Boavista, nº 45, 3.º Dto., 1200‑067 Lisboa</w:t>
      </w:r>
    </w:p>
    <w:p>
      <w:pPr>
        <w:pStyle w:val="BodyText"/>
      </w:pPr>
      <w:r>
        <w:rPr>
          <w:b/>
          <w:bCs/>
        </w:rPr>
        <w:t xml:space="preserve">Contestação da Acusação</w:t>
      </w:r>
    </w:p>
    <w:p>
      <w:pPr>
        <w:pStyle w:val="BodyText"/>
      </w:pPr>
      <w:r>
        <w:t xml:space="preserve">Lisboa, 15 de março de 2024</w:t>
      </w:r>
    </w:p>
    <w:p>
      <w:r>
        <w:pict>
          <v:rect style="width:0;height:1.5pt" o:hralign="center" o:hrstd="t" o:hr="t"/>
        </w:pict>
      </w:r>
    </w:p>
    <w:bookmarkEnd w:id="9"/>
    <w:bookmarkStart w:id="10" w:name="X0246aed16005176ae3cbb6abd0ac01b4d93bfc6"/>
    <w:p>
      <w:pPr>
        <w:pStyle w:val="Heading3"/>
      </w:pPr>
      <w:r>
        <w:t xml:space="preserve">I. Identificação das partes e dos mandatários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205"/>
        <w:gridCol w:w="2066"/>
        <w:gridCol w:w="464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Parte</w:t>
            </w:r>
          </w:p>
        </w:tc>
        <w:tc>
          <w:tcPr/>
          <w:p>
            <w:pPr>
              <w:pStyle w:val="Compact"/>
            </w:pPr>
            <w:r>
              <w:t xml:space="preserve">Mandatário</w:t>
            </w:r>
          </w:p>
        </w:tc>
        <w:tc>
          <w:tcPr/>
          <w:p>
            <w:pPr>
              <w:pStyle w:val="Compact"/>
            </w:pPr>
            <w:r>
              <w:t xml:space="preserve">Nº da Ordem dos Advogados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</w:t>
            </w:r>
          </w:p>
        </w:tc>
        <w:tc>
          <w:tcPr/>
          <w:p>
            <w:pPr>
              <w:pStyle w:val="Compact"/>
            </w:pPr>
            <w:r>
              <w:t xml:space="preserve">Dr. Ana Pereira</w:t>
            </w:r>
          </w:p>
        </w:tc>
        <w:tc>
          <w:tcPr/>
          <w:p>
            <w:pPr>
              <w:pStyle w:val="Compact"/>
            </w:pPr>
            <w:r>
              <w:t xml:space="preserve">OA 12345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Dr. Luís Carvalho</w:t>
            </w:r>
          </w:p>
        </w:tc>
        <w:tc>
          <w:tcPr/>
          <w:p>
            <w:pPr>
              <w:pStyle w:val="Compact"/>
            </w:pPr>
            <w:r>
              <w:t xml:space="preserve">OA 67890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Autor</w:t>
            </w:r>
          </w:p>
        </w:tc>
        <w:tc>
          <w:tcPr/>
          <w:p>
            <w:pPr>
              <w:pStyle w:val="Compact"/>
            </w:pPr>
            <w:r>
              <w:t xml:space="preserve">Dr. Marta Santos</w:t>
            </w:r>
          </w:p>
        </w:tc>
        <w:tc>
          <w:tcPr/>
          <w:p>
            <w:pPr>
              <w:pStyle w:val="Compact"/>
            </w:pPr>
            <w:r>
              <w:t xml:space="preserve">OA 54321 (Procuradora do Ministério Público)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ii.-preliminares"/>
    <w:p>
      <w:pPr>
        <w:pStyle w:val="Heading3"/>
      </w:pPr>
      <w:r>
        <w:t xml:space="preserve">II. Preliminares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Inexistência de causa de pedir válida</w:t>
      </w:r>
      <w:r>
        <w:t xml:space="preserve"> </w:t>
      </w:r>
      <w:r>
        <w:t xml:space="preserve">– O Ministério Público não demonstra, de forma clara e inequívoca, a existência de conduta típica descrita no art.º 217.º do Código Penal. A simples alegação de que o réu teria “acessado” a conta bancária da vítima não basta para configurar o delito de burla informática, sendo imprescindível a prova da intenção fraudulenta (dolo) e da autoria direta, o que não ocorre nos autos.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Nulidade das provas eletrónicas obtidas sem observância dos requisitos do art.º 285.º do CPC</w:t>
      </w:r>
      <w:r>
        <w:t xml:space="preserve"> </w:t>
      </w:r>
      <w:r>
        <w:t xml:space="preserve">– As comunicações de e‑mail e os registos de IP foram apreendidos sem a necessária decisão judicial de medida cautelar e sem a presença de perito oficial, violando o princípio do contraditório e da ampla defesa.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Violação do direito ao silêncio e à não autoincriminação</w:t>
      </w:r>
      <w:r>
        <w:t xml:space="preserve"> </w:t>
      </w:r>
      <w:r>
        <w:t xml:space="preserve">– O Ministério Público baseia a sua argumentação em declarações feitas pelo réu a terceiros, obtidas por meios não autorizados (acesso a contas de correio eletrónico sem mandato judicial), constituindo prova ilícita nos termos do art.º 5.º, n.º 3 da Constituição da República Portuguesa.</w:t>
      </w:r>
    </w:p>
    <w:p>
      <w:r>
        <w:pict>
          <v:rect style="width:0;height:1.5pt" o:hralign="center" o:hrstd="t" o:hr="t"/>
        </w:pict>
      </w:r>
    </w:p>
    <w:bookmarkEnd w:id="11"/>
    <w:bookmarkStart w:id="15" w:name="X9ffcd276cfd945ae7d9315f0a7175732009c236"/>
    <w:p>
      <w:pPr>
        <w:pStyle w:val="Heading3"/>
      </w:pPr>
      <w:r>
        <w:t xml:space="preserve">III. Mérito – Impugnação da autoria e da validade das provas</w:t>
      </w:r>
    </w:p>
    <w:bookmarkStart w:id="12" w:name="impugnação-da-autoria"/>
    <w:p>
      <w:pPr>
        <w:pStyle w:val="Heading4"/>
      </w:pPr>
      <w:r>
        <w:t xml:space="preserve">1. Impugnação da autoria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333"/>
        <w:gridCol w:w="3586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Facto alegado pela acusação</w:t>
            </w:r>
          </w:p>
        </w:tc>
        <w:tc>
          <w:tcPr/>
          <w:p>
            <w:pPr>
              <w:pStyle w:val="Compact"/>
            </w:pPr>
            <w:r>
              <w:t xml:space="preserve">Argumentação da defesa</w:t>
            </w:r>
          </w:p>
        </w:tc>
      </w:tr>
      <w:tr>
        <w:tc>
          <w:tcPr/>
          <w:p>
            <w:pPr>
              <w:pStyle w:val="Compact"/>
            </w:pPr>
            <w:r>
              <w:t xml:space="preserve">Transferências de €32 000 realizadas entre 10 e 25 de março de 2023, supostamente originadas da conta do réu.</w:t>
            </w:r>
          </w:p>
        </w:tc>
        <w:tc>
          <w:tcPr/>
          <w:p>
            <w:pPr>
              <w:pStyle w:val="Compact"/>
            </w:pPr>
            <w:r>
              <w:t xml:space="preserve">Não há prova de que o réu tenha, em nenhum momento, inserido as credenciais de acesso ao sistema bancário. As transferências foram efetuadas a partir de um endereço IP estrangeiro (Estados Unidos) que não corresponde a nenhum dispositivo registado ao nome do réu.</w:t>
            </w:r>
          </w:p>
        </w:tc>
      </w:tr>
      <w:tr>
        <w:tc>
          <w:tcPr/>
          <w:p>
            <w:pPr>
              <w:pStyle w:val="Compact"/>
            </w:pPr>
            <w:r>
              <w:t xml:space="preserve">Utilização de técnicas de “phishing” para obter dados da vítima.</w:t>
            </w:r>
          </w:p>
        </w:tc>
        <w:tc>
          <w:tcPr/>
          <w:p>
            <w:pPr>
              <w:pStyle w:val="Compact"/>
            </w:pPr>
            <w:r>
              <w:t xml:space="preserve">O réu nunca recebeu nem enviou e‑mails de natureza fraudulenta; os e‑mails apresentados pela acusação foram enviados a partir de um servidor comprometido que, segundo peritagem preliminar, foi utilizado por um grupo criminoso organizado alheio ao réu.</w:t>
            </w:r>
          </w:p>
        </w:tc>
      </w:tr>
    </w:tbl>
    <w:bookmarkEnd w:id="12"/>
    <w:bookmarkStart w:id="13" w:name="validade-das-provas-eletrónicas"/>
    <w:p>
      <w:pPr>
        <w:pStyle w:val="Heading4"/>
      </w:pPr>
      <w:r>
        <w:t xml:space="preserve">2. Validade das provas eletrónicas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Apreensão de e‑mails e registos de IP</w:t>
      </w:r>
      <w:r>
        <w:t xml:space="preserve"> </w:t>
      </w:r>
      <w:r>
        <w:t xml:space="preserve">– Não foi emitida decisão judicial autorizando a captura dos dados, contrariando o disposto no art.º 285.º, n.º 2 do CPC. A prova, portanto, deve ser considerada ilícita e excluída.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Ausência de cadeia de custódia</w:t>
      </w:r>
      <w:r>
        <w:t xml:space="preserve"> </w:t>
      </w:r>
      <w:r>
        <w:t xml:space="preserve">– Os dispositivos onde foram recolhidos os registos não foram submetidos a procedimentos de preservação de integridade (hash, selo de tempo). Não se pode garantir a autenticidade dos dados.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Peritagem incompleta</w:t>
      </w:r>
      <w:r>
        <w:t xml:space="preserve"> </w:t>
      </w:r>
      <w:r>
        <w:t xml:space="preserve">– O relatório pericial juntado (fls. 112‑118) foi elaborado por perito particular sem habilitação oficial, não cumprindo os requisitos de imparcialidade e independência exigidos pelo art.º 361.º do CPC.</w:t>
      </w:r>
    </w:p>
    <w:bookmarkEnd w:id="13"/>
    <w:bookmarkStart w:id="14" w:name="pedido-de-exclusão-de-documentos"/>
    <w:p>
      <w:pPr>
        <w:pStyle w:val="Heading4"/>
      </w:pPr>
      <w:r>
        <w:t xml:space="preserve">3. Pedido de exclusão de documentos</w:t>
      </w:r>
    </w:p>
    <w:p>
      <w:pPr>
        <w:pStyle w:val="FirstParagraph"/>
      </w:pPr>
      <w:r>
        <w:t xml:space="preserve">Em atenção ao disposto nos arts. 285.º e 286.º do CPC, requer a defesa a exclusão dos seguintes documentos do conjunto probatório: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053"/>
        <w:gridCol w:w="1613"/>
        <w:gridCol w:w="4253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 da página</w:t>
            </w:r>
          </w:p>
        </w:tc>
        <w:tc>
          <w:tcPr/>
          <w:p>
            <w:pPr>
              <w:pStyle w:val="Compact"/>
            </w:pPr>
            <w:r>
              <w:t xml:space="preserve">Documento</w:t>
            </w:r>
          </w:p>
        </w:tc>
        <w:tc>
          <w:tcPr/>
          <w:p>
            <w:pPr>
              <w:pStyle w:val="Compact"/>
            </w:pPr>
            <w:r>
              <w:t xml:space="preserve">Fundamentação para exclusão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105</w:t>
            </w:r>
          </w:p>
        </w:tc>
        <w:tc>
          <w:tcPr/>
          <w:p>
            <w:pPr>
              <w:pStyle w:val="Compact"/>
            </w:pPr>
            <w:r>
              <w:t xml:space="preserve">Captura de e‑mail “phishing@bank.com”</w:t>
            </w:r>
          </w:p>
        </w:tc>
        <w:tc>
          <w:tcPr/>
          <w:p>
            <w:pPr>
              <w:pStyle w:val="Compact"/>
            </w:pPr>
            <w:r>
              <w:t xml:space="preserve">Ausência de decisão judicial de apreensão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108‑110</w:t>
            </w:r>
          </w:p>
        </w:tc>
        <w:tc>
          <w:tcPr/>
          <w:p>
            <w:pPr>
              <w:pStyle w:val="Compact"/>
            </w:pPr>
            <w:r>
              <w:t xml:space="preserve">Registo de IP 172.16.45.23</w:t>
            </w:r>
          </w:p>
        </w:tc>
        <w:tc>
          <w:tcPr/>
          <w:p>
            <w:pPr>
              <w:pStyle w:val="Compact"/>
            </w:pPr>
            <w:r>
              <w:t xml:space="preserve">Falta de cadeia de custódia e inexistência de selo de tempo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112‑118</w:t>
            </w:r>
          </w:p>
        </w:tc>
        <w:tc>
          <w:tcPr/>
          <w:p>
            <w:pPr>
              <w:pStyle w:val="Compact"/>
            </w:pPr>
            <w:r>
              <w:t xml:space="preserve">Relatório pericial de “TechForensics Ltd.”</w:t>
            </w:r>
          </w:p>
        </w:tc>
        <w:tc>
          <w:tcPr/>
          <w:p>
            <w:pPr>
              <w:pStyle w:val="Compact"/>
            </w:pPr>
            <w:r>
              <w:t xml:space="preserve">Perito não habilitado oficialmente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122</w:t>
            </w:r>
          </w:p>
        </w:tc>
        <w:tc>
          <w:tcPr/>
          <w:p>
            <w:pPr>
              <w:pStyle w:val="Compact"/>
            </w:pPr>
            <w:r>
              <w:t xml:space="preserve">Print‑screen de conversa no WhatsApp entre a vítima e suposto “contato” do réu</w:t>
            </w:r>
          </w:p>
        </w:tc>
        <w:tc>
          <w:tcPr/>
          <w:p>
            <w:pPr>
              <w:pStyle w:val="Compact"/>
            </w:pPr>
            <w:r>
              <w:t xml:space="preserve">Violação do direito ao silêncio, obtido sem consentimento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4"/>
    <w:bookmarkEnd w:id="15"/>
    <w:bookmarkStart w:id="16" w:name="iv.-pedidos"/>
    <w:p>
      <w:pPr>
        <w:pStyle w:val="Heading3"/>
      </w:pPr>
      <w:r>
        <w:t xml:space="preserve">IV. Pedidos</w:t>
      </w:r>
    </w:p>
    <w:p>
      <w:pPr>
        <w:pStyle w:val="FirstParagraph"/>
      </w:pPr>
      <w:r>
        <w:t xml:space="preserve">Face ao exposto, a defesa requer a V. Exa.: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 rejeição da denúncia</w:t>
      </w:r>
      <w:r>
        <w:t xml:space="preserve"> </w:t>
      </w:r>
      <w:r>
        <w:t xml:space="preserve">por falta de causa de pedir e ausência de prova da autoria e do dolo;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 exclusão do conjunto probatório constituído pelos documentos indicados na tabela acima</w:t>
      </w:r>
      <w:r>
        <w:t xml:space="preserve">, por violação dos princípios da legalidade da prova, do contraditório e da ampla defesa;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 produção de prova testemunhal</w:t>
      </w:r>
      <w:r>
        <w:t xml:space="preserve">, nomeadamente a oitiva dos seguintes testemunhos:</w:t>
      </w:r>
    </w:p>
    <w:p>
      <w:pPr>
        <w:pStyle w:val="Compact"/>
        <w:numPr>
          <w:ilvl w:val="1"/>
          <w:numId w:val="1004"/>
        </w:numPr>
      </w:pPr>
      <w:r>
        <w:t xml:space="preserve">Sr. Carlos Mendes, técnico de segurança informática da empresa “SecureNet”, que pode atestar a existência de um ataque de phishing em massa em março de 2023, sem ligação ao réu;</w:t>
      </w:r>
    </w:p>
    <w:p>
      <w:pPr>
        <w:pStyle w:val="Compact"/>
        <w:numPr>
          <w:ilvl w:val="1"/>
          <w:numId w:val="1004"/>
        </w:numPr>
      </w:pPr>
      <w:r>
        <w:t xml:space="preserve">Sra. Mariana Silva, amiga do réu, que pode confirmar a impossibilidade de acesso ao computador do réu durante o período alegado;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 nomeação de perito oficial</w:t>
      </w:r>
      <w:r>
        <w:t xml:space="preserve"> </w:t>
      </w:r>
      <w:r>
        <w:t xml:space="preserve">para análise dos registos de IP e dos logs bancários, nos termos do art.º 361.º do CPC;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 concessão de vista dos autos</w:t>
      </w:r>
      <w:r>
        <w:t xml:space="preserve"> </w:t>
      </w:r>
      <w:r>
        <w:t xml:space="preserve">à defesa, com a prática de todas as diligências necessárias à preparação da defesa, nos termos do art.º 212.º do CPC;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 aplicação do princípio da presunção de inocência</w:t>
      </w:r>
      <w:r>
        <w:t xml:space="preserve">, requerendo que, em caso de inexistência de prova legalmente válida, seja julgada improcedente a acusação e o réu seja absolvido.</w:t>
      </w:r>
    </w:p>
    <w:p>
      <w:r>
        <w:pict>
          <v:rect style="width:0;height:1.5pt" o:hralign="center" o:hrstd="t" o:hr="t"/>
        </w:pict>
      </w:r>
    </w:p>
    <w:bookmarkEnd w:id="16"/>
    <w:bookmarkStart w:id="17" w:name="v.-provas-que-a-defesa-pretende-produzir"/>
    <w:p>
      <w:pPr>
        <w:pStyle w:val="Heading3"/>
      </w:pPr>
      <w:r>
        <w:t xml:space="preserve">V. Provas que a defesa pretende produzir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475"/>
        <w:gridCol w:w="1980"/>
        <w:gridCol w:w="3465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Tipo de prova</w:t>
            </w:r>
          </w:p>
        </w:tc>
        <w:tc>
          <w:tcPr/>
          <w:p>
            <w:pPr>
              <w:pStyle w:val="Compact"/>
            </w:pPr>
            <w:r>
              <w:t xml:space="preserve">Finalidade</w:t>
            </w:r>
          </w:p>
        </w:tc>
        <w:tc>
          <w:tcPr/>
          <w:p>
            <w:pPr>
              <w:pStyle w:val="Compact"/>
            </w:pPr>
            <w:r>
              <w:t xml:space="preserve">Prazo para produção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Testemunhal</w:t>
            </w:r>
          </w:p>
        </w:tc>
        <w:tc>
          <w:tcPr/>
          <w:p>
            <w:pPr>
              <w:pStyle w:val="Compact"/>
            </w:pPr>
            <w:r>
              <w:t xml:space="preserve">Confirmar a inexistência de acesso ao equipamento do réu e a ocorrência de ataque externo</w:t>
            </w:r>
          </w:p>
        </w:tc>
        <w:tc>
          <w:tcPr/>
          <w:p>
            <w:pPr>
              <w:pStyle w:val="Compact"/>
            </w:pPr>
            <w:r>
              <w:t xml:space="preserve">Até 30 de abril de 2024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Pericial oficial</w:t>
            </w:r>
          </w:p>
        </w:tc>
        <w:tc>
          <w:tcPr/>
          <w:p>
            <w:pPr>
              <w:pStyle w:val="Compact"/>
            </w:pPr>
            <w:r>
              <w:t xml:space="preserve">Verificar autenticidade dos registos de IP e dos logs bancários</w:t>
            </w:r>
          </w:p>
        </w:tc>
        <w:tc>
          <w:tcPr/>
          <w:p>
            <w:pPr>
              <w:pStyle w:val="Compact"/>
            </w:pPr>
            <w:r>
              <w:t xml:space="preserve">Até 15 de maio de 2024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Documental</w:t>
            </w:r>
          </w:p>
        </w:tc>
        <w:tc>
          <w:tcPr/>
          <w:p>
            <w:pPr>
              <w:pStyle w:val="Compact"/>
            </w:pPr>
            <w:r>
              <w:t xml:space="preserve">Apresentar extratos bancários do réu que demonstrem ausência de movimentação suspeita no período em causa</w:t>
            </w:r>
          </w:p>
        </w:tc>
        <w:tc>
          <w:tcPr/>
          <w:p>
            <w:pPr>
              <w:pStyle w:val="Compact"/>
            </w:pPr>
            <w:r>
              <w:t xml:space="preserve">Até 20 de abril de 2024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7"/>
    <w:bookmarkStart w:id="18" w:name="vi.-termos-em-que"/>
    <w:p>
      <w:pPr>
        <w:pStyle w:val="Heading3"/>
      </w:pPr>
      <w:r>
        <w:t xml:space="preserve">VI. Termos em que,</w:t>
      </w:r>
    </w:p>
    <w:p>
      <w:pPr>
        <w:pStyle w:val="FirstParagraph"/>
      </w:pPr>
      <w:r>
        <w:t xml:space="preserve">Pede deferimento.</w:t>
      </w:r>
    </w:p>
    <w:p>
      <w:pPr>
        <w:pStyle w:val="BodyText"/>
      </w:pPr>
      <w:r>
        <w:rPr>
          <w:b/>
          <w:bCs/>
        </w:rPr>
        <w:t xml:space="preserve">Lisboa, 15 de março de 2024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 Ana Pereira</w:t>
      </w:r>
      <w:r>
        <w:br/>
      </w:r>
      <w:r>
        <w:t xml:space="preserve">Advogada – OA 12345</w:t>
      </w:r>
    </w:p>
    <w:p>
      <w:pPr>
        <w:pStyle w:val="BodyText"/>
      </w:pPr>
      <w:r>
        <w:rPr>
          <w:b/>
          <w:bCs/>
        </w:rPr>
        <w:t xml:space="preserve">Dr. Luís Carvalho</w:t>
      </w:r>
      <w:r>
        <w:br/>
      </w:r>
      <w:r>
        <w:t xml:space="preserve">Advogado – OA 67890</w:t>
      </w:r>
    </w:p>
    <w:p>
      <w:pPr>
        <w:pStyle w:val="BodyText"/>
      </w:pPr>
      <w:r>
        <w:rPr>
          <w:i/>
          <w:iCs/>
        </w:rPr>
        <w:t xml:space="preserve">Defesa do Réu – João da Silva</w:t>
      </w:r>
    </w:p>
    <w:bookmarkEnd w:id="18"/>
    <w:bookmarkEnd w:id="1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2026-02-22T19:01:58Z</dcterms:created>
  <dcterms:modified xsi:type="dcterms:W3CDTF">2026-02-22T19:01:58Z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